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595959"/>
          <w:sz w:val="18"/>
          <w:szCs w:val="18"/>
        </w:rPr>
        <w:t xml:space="preserve">MAKRONET  |  Örnek Belge</w:t>
      </w:r>
    </w:p>
    <w:p>
      <w:pPr>
        <w:pBdr>
          <w:bottom w:val="single" w:color="1F3864" w:sz="12" w:space="8"/>
        </w:pBdr>
        <w:spacing w:after="60"/>
      </w:pPr>
      <w:r>
        <w:rPr>
          <w:rFonts w:ascii="Calibri" w:cs="Calibri" w:eastAsia="Calibri" w:hAnsi="Calibri"/>
          <w:b/>
          <w:bCs/>
          <w:color w:val="1F3864"/>
          <w:sz w:val="32"/>
          <w:szCs w:val="32"/>
        </w:rPr>
        <w:t xml:space="preserve">ANONİM ŞİRKET HİSSE DEVİR SÖZLEŞMESİ ÖRNEĞİ</w:t>
      </w:r>
    </w:p>
    <w:p>
      <w:pPr>
        <w:spacing w:after="240" w:before="0" w:line="276"/>
        <w:jc w:val="both"/>
      </w:pPr>
      <w:r>
        <w:rPr>
          <w:rFonts w:ascii="Calibri" w:cs="Calibri" w:eastAsia="Calibri" w:hAnsi="Calibri"/>
          <w:b w:val="false"/>
          <w:bCs w:val="false"/>
          <w:i/>
          <w:iCs/>
          <w:color w:val="595959"/>
          <w:sz w:val="20"/>
          <w:szCs w:val="20"/>
        </w:rPr>
        <w:t xml:space="preserve">Nama yazılı pay senedi, hamiline yazılı pay senedi, ilmühaber ve çıplak pay devri için tek metin</w:t>
      </w:r>
    </w:p>
    <w:tbl>
      <w:tblPr>
        <w:tblW w:type="dxa" w:w="9638"/>
        <w:tblBorders>
          <w:top w:val="single" w:color="1F3864" w:sz="4"/>
          <w:left w:val="single" w:color="1F3864" w:sz="18"/>
          <w:bottom w:val="single" w:color="1F3864" w:sz="4"/>
          <w:right w:val="single" w:color="1F3864" w:sz="4"/>
          <w:insideH w:val="none"/>
          <w:insideV w:val="none"/>
        </w:tblBorders>
      </w:tblPr>
      <w:tblGrid>
        <w:gridCol w:w="9638"/>
      </w:tblGrid>
      <w:tr>
        <w:tc>
          <w:tcPr>
            <w:tcW w:type="dxa" w:w="9638"/>
            <w:shd w:fill="F2F5FA" w:color="auto" w:val="clear"/>
            <w:tcMar>
              <w:top w:type="dxa" w:w="140"/>
              <w:left w:type="dxa" w:w="180"/>
              <w:bottom w:type="dxa" w:w="140"/>
              <w:right w:type="dxa" w:w="180"/>
            </w:tcMar>
          </w:tcPr>
          <w:p>
            <w:pPr>
              <w:spacing w:after="80"/>
            </w:pPr>
            <w:r>
              <w:rPr>
                <w:rFonts w:ascii="Calibri" w:cs="Calibri" w:eastAsia="Calibri" w:hAnsi="Calibri"/>
                <w:b/>
                <w:bCs/>
                <w:color w:val="1F3864"/>
                <w:sz w:val="21"/>
                <w:szCs w:val="21"/>
              </w:rPr>
              <w:t xml:space="preserve">Kullanım notu</w:t>
            </w:r>
          </w:p>
          <w:p>
            <w:pPr>
              <w:spacing w:after="60" w:line="264"/>
              <w:jc w:val="both"/>
            </w:pPr>
            <w:r>
              <w:rPr>
                <w:rFonts w:ascii="Calibri" w:cs="Calibri" w:eastAsia="Calibri" w:hAnsi="Calibri"/>
                <w:sz w:val="19"/>
                <w:szCs w:val="19"/>
              </w:rPr>
              <w:t xml:space="preserve">Bu belge örnek metindir, hukuki danışmanlık yerine geçmez. Şirketinizin esas sözleşmesine ve somut devir işlemine göre uyarlanmalıdır.</w:t>
            </w:r>
          </w:p>
          <w:p>
            <w:pPr>
              <w:spacing w:after="60" w:line="264"/>
              <w:jc w:val="both"/>
            </w:pPr>
            <w:r>
              <w:rPr>
                <w:rFonts w:ascii="Calibri" w:cs="Calibri" w:eastAsia="Calibri" w:hAnsi="Calibri"/>
                <w:sz w:val="19"/>
                <w:szCs w:val="19"/>
              </w:rPr>
              <w:t xml:space="preserve">Anonim şirket hisse devrinde noter onayı kanunen zorunlu değildir. Sözleşmenin taraflarca imzalanması yeterlidir. Yüksek bedelli devirlerde noter onayı ispat gücünü artırır.</w:t>
            </w:r>
          </w:p>
          <w:p>
            <w:pPr>
              <w:spacing w:after="60" w:line="264"/>
              <w:jc w:val="both"/>
            </w:pPr>
            <w:r>
              <w:rPr>
                <w:rFonts w:ascii="Calibri" w:cs="Calibri" w:eastAsia="Calibri" w:hAnsi="Calibri"/>
                <w:sz w:val="19"/>
                <w:szCs w:val="19"/>
              </w:rPr>
              <w:t xml:space="preserve">Senede bağlanmamış çıplak pay devrinde yazılı şekil TBK m.184 gereği zorunludur. Nama ve hamiline pay senedi devrinde ise sözleşme kurucu unsur değil, ispatı güçlendiren belgedir.</w:t>
            </w:r>
          </w:p>
          <w:p>
            <w:pPr>
              <w:spacing w:after="60" w:line="264"/>
              <w:jc w:val="both"/>
            </w:pPr>
            <w:r>
              <w:rPr>
                <w:rFonts w:ascii="Calibri" w:cs="Calibri" w:eastAsia="Calibri" w:hAnsi="Calibri"/>
                <w:sz w:val="19"/>
                <w:szCs w:val="19"/>
              </w:rPr>
              <w:t xml:space="preserve">Madde 6 pay türüne göre dört seçenek içerir. Somut devre uymayan fıkralar silinmelidir.</w:t>
            </w:r>
          </w:p>
          <w:p>
            <w:pPr>
              <w:spacing w:after="60" w:line="264"/>
              <w:jc w:val="both"/>
            </w:pPr>
            <w:r>
              <w:rPr>
                <w:rFonts w:ascii="Calibri" w:cs="Calibri" w:eastAsia="Calibri" w:hAnsi="Calibri"/>
                <w:sz w:val="19"/>
                <w:szCs w:val="19"/>
              </w:rPr>
              <w:t xml:space="preserve">Noktalı alanlar ve köşeli parantez içindeki açıklamalar doldurulduktan sonra silinmelidir.</w:t>
            </w:r>
          </w:p>
        </w:tc>
      </w:tr>
    </w:tbl>
    <w:p>
      <w:pPr>
        <w:spacing w:after="300"/>
      </w:pPr>
    </w:p>
    <w:p>
      <w:pPr>
        <w:spacing w:after="240" w:before="0" w:line="276"/>
        <w:jc w:val="center"/>
      </w:pPr>
      <w:r>
        <w:rPr>
          <w:rFonts w:ascii="Calibri" w:cs="Calibri" w:eastAsia="Calibri" w:hAnsi="Calibri"/>
          <w:b/>
          <w:bCs/>
          <w:i w:val="false"/>
          <w:iCs w:val="false"/>
          <w:color w:val="000000"/>
          <w:sz w:val="26"/>
          <w:szCs w:val="26"/>
        </w:rPr>
        <w:t xml:space="preserve">HİSSE (PAY) DEVİR SÖZLEŞMESİ</w:t>
      </w:r>
    </w:p>
    <w:p>
      <w:pPr>
        <w:pStyle w:val="Heading2"/>
        <w:spacing w:after="120" w:before="280"/>
      </w:pPr>
      <w:r>
        <w:rPr>
          <w:rFonts w:ascii="Calibri" w:cs="Calibri" w:eastAsia="Calibri" w:hAnsi="Calibri"/>
          <w:b/>
          <w:bCs/>
          <w:color w:val="1F3864"/>
          <w:sz w:val="22"/>
          <w:szCs w:val="22"/>
        </w:rPr>
        <w:t xml:space="preserve">MADDE 1 — TARAFLAR</w:t>
      </w:r>
    </w:p>
    <w:p>
      <w:pPr>
        <w:spacing w:after="160" w:before="0" w:line="276"/>
        <w:jc w:val="both"/>
      </w:pPr>
      <w:r>
        <w:rPr>
          <w:rFonts w:ascii="Calibri" w:cs="Calibri" w:eastAsia="Calibri" w:hAnsi="Calibri"/>
          <w:b w:val="false"/>
          <w:bCs w:val="false"/>
          <w:i w:val="false"/>
          <w:iCs w:val="false"/>
          <w:color w:val="000000"/>
          <w:sz w:val="21"/>
          <w:szCs w:val="21"/>
        </w:rPr>
        <w:t xml:space="preserve">İşbu hisse devir sözleşmesi, aşağıda kimlik ve adres bilgileri yer alan taraflar arasında …… / …… / 20…… tarihinde düzenlenmiş ve imzalanmıştır.</w:t>
      </w:r>
    </w:p>
    <w:p>
      <w:pPr>
        <w:spacing w:after="80" w:before="0" w:line="276"/>
        <w:jc w:val="both"/>
      </w:pPr>
      <w:r>
        <w:rPr>
          <w:rFonts w:ascii="Calibri" w:cs="Calibri" w:eastAsia="Calibri" w:hAnsi="Calibri"/>
          <w:b/>
          <w:bCs/>
          <w:i w:val="false"/>
          <w:iCs w:val="false"/>
          <w:color w:val="000000"/>
          <w:sz w:val="21"/>
          <w:szCs w:val="21"/>
        </w:rPr>
        <w:t xml:space="preserve">DEVREDEN</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3000"/>
        <w:gridCol w:w="6638"/>
      </w:tblGrid>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Adı Soyadı / Unvanı</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T.C. Kimlik / Vergi No</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Adres</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Telefon / E-posta</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bl>
    <w:p>
      <w:pPr>
        <w:spacing w:after="160"/>
      </w:pPr>
    </w:p>
    <w:p>
      <w:pPr>
        <w:spacing w:after="80" w:before="0" w:line="276"/>
        <w:jc w:val="both"/>
      </w:pPr>
      <w:r>
        <w:rPr>
          <w:rFonts w:ascii="Calibri" w:cs="Calibri" w:eastAsia="Calibri" w:hAnsi="Calibri"/>
          <w:b/>
          <w:bCs/>
          <w:i w:val="false"/>
          <w:iCs w:val="false"/>
          <w:color w:val="000000"/>
          <w:sz w:val="21"/>
          <w:szCs w:val="21"/>
        </w:rPr>
        <w:t xml:space="preserve">DEVRALAN</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3000"/>
        <w:gridCol w:w="6638"/>
      </w:tblGrid>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Adı Soyadı / Unvanı</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T.C. Kimlik / Vergi No</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Adres</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Telefon / E-posta</w:t>
            </w:r>
          </w:p>
        </w:tc>
        <w:tc>
          <w:tcPr>
            <w:tcW w:type="dxa" w:w="66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bl>
    <w:p>
      <w:pPr>
        <w:spacing w:after="140"/>
      </w:pPr>
    </w:p>
    <w:p>
      <w:pPr>
        <w:spacing w:after="120" w:before="0" w:line="276"/>
        <w:jc w:val="both"/>
      </w:pPr>
      <w:r>
        <w:rPr>
          <w:rFonts w:ascii="Calibri" w:cs="Calibri" w:eastAsia="Calibri" w:hAnsi="Calibri"/>
          <w:b w:val="false"/>
          <w:bCs w:val="false"/>
          <w:i w:val="false"/>
          <w:iCs w:val="false"/>
          <w:color w:val="000000"/>
          <w:sz w:val="21"/>
          <w:szCs w:val="21"/>
        </w:rPr>
        <w:t xml:space="preserve">Devreden ve Devralan işbu sözleşmede birlikte "Taraflar", ayrı ayrı "Taraf" olarak anılacaktır.</w:t>
      </w:r>
    </w:p>
    <w:p>
      <w:pPr>
        <w:pStyle w:val="Heading2"/>
        <w:spacing w:after="120" w:before="280"/>
      </w:pPr>
      <w:r>
        <w:rPr>
          <w:rFonts w:ascii="Calibri" w:cs="Calibri" w:eastAsia="Calibri" w:hAnsi="Calibri"/>
          <w:b/>
          <w:bCs/>
          <w:color w:val="1F3864"/>
          <w:sz w:val="22"/>
          <w:szCs w:val="22"/>
        </w:rPr>
        <w:t xml:space="preserve">MADDE 2 — TANIMLAR</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400"/>
        <w:gridCol w:w="7238"/>
      </w:tblGrid>
      <w:tr>
        <w:tc>
          <w:tcPr>
            <w:tcW w:type="dxa" w:w="2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Şirket</w:t>
            </w:r>
          </w:p>
        </w:tc>
        <w:tc>
          <w:tcPr>
            <w:tcW w:type="dxa" w:w="7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Anonim Şirketi (Ticaret Sicil No: ………………………, Merkez: ………………………)</w:t>
            </w:r>
          </w:p>
        </w:tc>
      </w:tr>
      <w:tr>
        <w:tc>
          <w:tcPr>
            <w:tcW w:type="dxa" w:w="2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Paylar</w:t>
            </w:r>
          </w:p>
        </w:tc>
        <w:tc>
          <w:tcPr>
            <w:tcW w:type="dxa" w:w="7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Madde 4’te dökümü verilen ve işbu sözleşmeyle devredilen paylar</w:t>
            </w:r>
          </w:p>
        </w:tc>
      </w:tr>
      <w:tr>
        <w:tc>
          <w:tcPr>
            <w:tcW w:type="dxa" w:w="2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Devir Bedeli</w:t>
            </w:r>
          </w:p>
        </w:tc>
        <w:tc>
          <w:tcPr>
            <w:tcW w:type="dxa" w:w="7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Madde 5’te belirlenen toplam bedel</w:t>
            </w:r>
          </w:p>
        </w:tc>
      </w:tr>
      <w:tr>
        <w:tc>
          <w:tcPr>
            <w:tcW w:type="dxa" w:w="2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Devir Tarihi</w:t>
            </w:r>
          </w:p>
        </w:tc>
        <w:tc>
          <w:tcPr>
            <w:tcW w:type="dxa" w:w="7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Madde 6’da öngörülen işlemlerin tamamlandığı tarih</w:t>
            </w:r>
          </w:p>
        </w:tc>
      </w:tr>
    </w:tbl>
    <w:p>
      <w:pPr>
        <w:pStyle w:val="Heading2"/>
        <w:spacing w:after="120" w:before="280"/>
      </w:pPr>
      <w:r>
        <w:rPr>
          <w:rFonts w:ascii="Calibri" w:cs="Calibri" w:eastAsia="Calibri" w:hAnsi="Calibri"/>
          <w:b/>
          <w:bCs/>
          <w:color w:val="1F3864"/>
          <w:sz w:val="22"/>
          <w:szCs w:val="22"/>
        </w:rPr>
        <w:t xml:space="preserve">MADDE 3 — SÖZLEŞMENIN KONUSU</w:t>
      </w:r>
    </w:p>
    <w:p>
      <w:pPr>
        <w:spacing w:after="100" w:before="0" w:line="276"/>
        <w:jc w:val="both"/>
      </w:pPr>
      <w:r>
        <w:rPr>
          <w:rFonts w:ascii="Calibri" w:cs="Calibri" w:eastAsia="Calibri" w:hAnsi="Calibri"/>
          <w:b w:val="false"/>
          <w:bCs w:val="false"/>
          <w:i w:val="false"/>
          <w:iCs w:val="false"/>
          <w:color w:val="000000"/>
          <w:sz w:val="21"/>
          <w:szCs w:val="21"/>
        </w:rPr>
        <w:t xml:space="preserve">İşbu sözleşmenin konusu, Devreden’in Şirket sermayesinde sahip olduğu ve Madde 4’te dökümü verilen payların, Madde 5’te belirlenen bedel karşılığında Devralan’a devredilmesidir.</w:t>
      </w:r>
    </w:p>
    <w:p>
      <w:pPr>
        <w:spacing w:after="120" w:before="0" w:line="276"/>
        <w:jc w:val="both"/>
      </w:pPr>
      <w:r>
        <w:rPr>
          <w:rFonts w:ascii="Calibri" w:cs="Calibri" w:eastAsia="Calibri" w:hAnsi="Calibri"/>
          <w:b w:val="false"/>
          <w:bCs w:val="false"/>
          <w:i w:val="false"/>
          <w:iCs w:val="false"/>
          <w:color w:val="000000"/>
          <w:sz w:val="21"/>
          <w:szCs w:val="21"/>
        </w:rPr>
        <w:t xml:space="preserve">Devir, Türk Ticaret Kanunu’nun pay devrine ilişkin hükümleri ile Şirket esas sözleşmesi çerçevesinde gerçekleştirilir.</w:t>
      </w:r>
    </w:p>
    <w:p>
      <w:pPr>
        <w:pStyle w:val="Heading2"/>
        <w:spacing w:after="120" w:before="280"/>
      </w:pPr>
      <w:r>
        <w:rPr>
          <w:rFonts w:ascii="Calibri" w:cs="Calibri" w:eastAsia="Calibri" w:hAnsi="Calibri"/>
          <w:b/>
          <w:bCs/>
          <w:color w:val="1F3864"/>
          <w:sz w:val="22"/>
          <w:szCs w:val="22"/>
        </w:rPr>
        <w:t xml:space="preserve">MADDE 4 — DEVRE KONU PAYLAR</w:t>
      </w:r>
    </w:p>
    <w:p>
      <w:pPr>
        <w:spacing w:after="140" w:before="0" w:line="276"/>
        <w:jc w:val="both"/>
      </w:pPr>
      <w:r>
        <w:rPr>
          <w:rFonts w:ascii="Calibri" w:cs="Calibri" w:eastAsia="Calibri" w:hAnsi="Calibri"/>
          <w:b w:val="false"/>
          <w:bCs w:val="false"/>
          <w:i w:val="false"/>
          <w:iCs w:val="false"/>
          <w:color w:val="000000"/>
          <w:sz w:val="21"/>
          <w:szCs w:val="21"/>
        </w:rPr>
        <w:t xml:space="preserve">Şirketin kayıtlı sermayesi ……………………… TL olup, bu sermaye beheri ……………………… TL nominal değerde ……………………… adet paya bölünmüştür.</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400"/>
        <w:gridCol w:w="2200"/>
        <w:gridCol w:w="1600"/>
        <w:gridCol w:w="1700"/>
        <w:gridCol w:w="1738"/>
      </w:tblGrid>
      <w:tr>
        <w:tc>
          <w:tcPr>
            <w:tcW w:type="dxa" w:w="2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Pay Türü</w:t>
            </w:r>
          </w:p>
        </w:tc>
        <w:tc>
          <w:tcPr>
            <w:tcW w:type="dxa" w:w="22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Tertip / Kupür / Seri</w:t>
            </w:r>
          </w:p>
        </w:tc>
        <w:tc>
          <w:tcPr>
            <w:tcW w:type="dxa" w:w="1600"/>
            <w:shd w:fill="F2F5FA" w:color="auto" w:val="clear"/>
            <w:tcMar>
              <w:top w:type="dxa" w:w="60"/>
              <w:left w:type="dxa" w:w="100"/>
              <w:bottom w:type="dxa" w:w="60"/>
              <w:right w:type="dxa" w:w="100"/>
            </w:tcMar>
          </w:tcPr>
          <w:p>
            <w:pPr>
              <w:spacing w:after="0" w:line="240"/>
              <w:jc w:val="center"/>
            </w:pPr>
            <w:r>
              <w:rPr>
                <w:rFonts w:ascii="Calibri" w:cs="Calibri" w:eastAsia="Calibri" w:hAnsi="Calibri"/>
                <w:b/>
                <w:bCs/>
                <w:color w:val="1F3864"/>
                <w:sz w:val="19"/>
                <w:szCs w:val="19"/>
              </w:rPr>
              <w:t xml:space="preserve">Pay Adedi</w:t>
            </w:r>
          </w:p>
        </w:tc>
        <w:tc>
          <w:tcPr>
            <w:tcW w:type="dxa" w:w="1700"/>
            <w:shd w:fill="F2F5FA" w:color="auto" w:val="clear"/>
            <w:tcMar>
              <w:top w:type="dxa" w:w="60"/>
              <w:left w:type="dxa" w:w="100"/>
              <w:bottom w:type="dxa" w:w="60"/>
              <w:right w:type="dxa" w:w="100"/>
            </w:tcMar>
          </w:tcPr>
          <w:p>
            <w:pPr>
              <w:spacing w:after="0" w:line="240"/>
              <w:jc w:val="right"/>
            </w:pPr>
            <w:r>
              <w:rPr>
                <w:rFonts w:ascii="Calibri" w:cs="Calibri" w:eastAsia="Calibri" w:hAnsi="Calibri"/>
                <w:b/>
                <w:bCs/>
                <w:color w:val="1F3864"/>
                <w:sz w:val="19"/>
                <w:szCs w:val="19"/>
              </w:rPr>
              <w:t xml:space="preserve">Beher Nominal</w:t>
            </w:r>
          </w:p>
        </w:tc>
        <w:tc>
          <w:tcPr>
            <w:tcW w:type="dxa" w:w="1738"/>
            <w:shd w:fill="F2F5FA" w:color="auto" w:val="clear"/>
            <w:tcMar>
              <w:top w:type="dxa" w:w="60"/>
              <w:left w:type="dxa" w:w="100"/>
              <w:bottom w:type="dxa" w:w="60"/>
              <w:right w:type="dxa" w:w="100"/>
            </w:tcMar>
          </w:tcPr>
          <w:p>
            <w:pPr>
              <w:spacing w:after="0" w:line="240"/>
              <w:jc w:val="right"/>
            </w:pPr>
            <w:r>
              <w:rPr>
                <w:rFonts w:ascii="Calibri" w:cs="Calibri" w:eastAsia="Calibri" w:hAnsi="Calibri"/>
                <w:b/>
                <w:bCs/>
                <w:color w:val="1F3864"/>
                <w:sz w:val="19"/>
                <w:szCs w:val="19"/>
              </w:rPr>
              <w:t xml:space="preserve">Toplam Nominal</w:t>
            </w:r>
          </w:p>
        </w:tc>
      </w:tr>
      <w:tr>
        <w:tc>
          <w:tcPr>
            <w:tcW w:type="dxa" w:w="2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[Nama / Hamiline / İlmühaber / Çıplak pay]</w:t>
            </w:r>
          </w:p>
        </w:tc>
        <w:tc>
          <w:tcPr>
            <w:tcW w:type="dxa" w:w="22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1600"/>
            <w:tcMar>
              <w:top w:type="dxa" w:w="60"/>
              <w:left w:type="dxa" w:w="100"/>
              <w:bottom w:type="dxa" w:w="60"/>
              <w:right w:type="dxa" w:w="100"/>
            </w:tcMar>
          </w:tcPr>
          <w:p>
            <w:pPr>
              <w:spacing w:after="0" w:line="240"/>
              <w:jc w:val="center"/>
            </w:pPr>
            <w:r>
              <w:rPr>
                <w:rFonts w:ascii="Calibri" w:cs="Calibri" w:eastAsia="Calibri" w:hAnsi="Calibri"/>
                <w:b w:val="false"/>
                <w:bCs w:val="false"/>
                <w:color w:val="000000"/>
                <w:sz w:val="19"/>
                <w:szCs w:val="19"/>
              </w:rPr>
              <w:t xml:space="preserve">……………</w:t>
            </w:r>
          </w:p>
        </w:tc>
        <w:tc>
          <w:tcPr>
            <w:tcW w:type="dxa" w:w="1700"/>
            <w:tcMar>
              <w:top w:type="dxa" w:w="60"/>
              <w:left w:type="dxa" w:w="100"/>
              <w:bottom w:type="dxa" w:w="60"/>
              <w:right w:type="dxa" w:w="100"/>
            </w:tcMar>
          </w:tcPr>
          <w:p>
            <w:pPr>
              <w:spacing w:after="0" w:line="240"/>
              <w:jc w:val="right"/>
            </w:pPr>
            <w:r>
              <w:rPr>
                <w:rFonts w:ascii="Calibri" w:cs="Calibri" w:eastAsia="Calibri" w:hAnsi="Calibri"/>
                <w:b w:val="false"/>
                <w:bCs w:val="false"/>
                <w:color w:val="000000"/>
                <w:sz w:val="19"/>
                <w:szCs w:val="19"/>
              </w:rPr>
              <w:t xml:space="preserve">………… TL</w:t>
            </w:r>
          </w:p>
        </w:tc>
        <w:tc>
          <w:tcPr>
            <w:tcW w:type="dxa" w:w="1738"/>
            <w:tcMar>
              <w:top w:type="dxa" w:w="60"/>
              <w:left w:type="dxa" w:w="100"/>
              <w:bottom w:type="dxa" w:w="60"/>
              <w:right w:type="dxa" w:w="100"/>
            </w:tcMar>
          </w:tcPr>
          <w:p>
            <w:pPr>
              <w:spacing w:after="0" w:line="240"/>
              <w:jc w:val="right"/>
            </w:pPr>
            <w:r>
              <w:rPr>
                <w:rFonts w:ascii="Calibri" w:cs="Calibri" w:eastAsia="Calibri" w:hAnsi="Calibri"/>
                <w:b w:val="false"/>
                <w:bCs w:val="false"/>
                <w:color w:val="000000"/>
                <w:sz w:val="19"/>
                <w:szCs w:val="19"/>
              </w:rPr>
              <w:t xml:space="preserve">………… TL</w:t>
            </w:r>
          </w:p>
        </w:tc>
      </w:tr>
      <w:tr>
        <w:tc>
          <w:tcPr>
            <w:tcW w:type="dxa" w:w="2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22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16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1700"/>
            <w:tcMar>
              <w:top w:type="dxa" w:w="60"/>
              <w:left w:type="dxa" w:w="100"/>
              <w:bottom w:type="dxa" w:w="60"/>
              <w:right w:type="dxa" w:w="100"/>
            </w:tcMar>
          </w:tcPr>
          <w:p>
            <w:pPr>
              <w:spacing w:after="0" w:line="240"/>
              <w:jc w:val="right"/>
            </w:pPr>
            <w:r>
              <w:rPr>
                <w:rFonts w:ascii="Calibri" w:cs="Calibri" w:eastAsia="Calibri" w:hAnsi="Calibri"/>
                <w:b/>
                <w:bCs/>
                <w:color w:val="000000"/>
                <w:sz w:val="19"/>
                <w:szCs w:val="19"/>
              </w:rPr>
              <w:t xml:space="preserve">TOPLAM</w:t>
            </w:r>
          </w:p>
        </w:tc>
        <w:tc>
          <w:tcPr>
            <w:tcW w:type="dxa" w:w="1738"/>
            <w:tcMar>
              <w:top w:type="dxa" w:w="60"/>
              <w:left w:type="dxa" w:w="100"/>
              <w:bottom w:type="dxa" w:w="60"/>
              <w:right w:type="dxa" w:w="100"/>
            </w:tcMar>
          </w:tcPr>
          <w:p>
            <w:pPr>
              <w:spacing w:after="0" w:line="240"/>
              <w:jc w:val="right"/>
            </w:pPr>
            <w:r>
              <w:rPr>
                <w:rFonts w:ascii="Calibri" w:cs="Calibri" w:eastAsia="Calibri" w:hAnsi="Calibri"/>
                <w:b/>
                <w:bCs/>
                <w:color w:val="000000"/>
                <w:sz w:val="19"/>
                <w:szCs w:val="19"/>
              </w:rPr>
              <w:t xml:space="preserve">………… TL</w:t>
            </w:r>
          </w:p>
        </w:tc>
      </w:tr>
    </w:tbl>
    <w:p>
      <w:pPr>
        <w:spacing w:after="140"/>
      </w:pPr>
    </w:p>
    <w:p>
      <w:pPr>
        <w:spacing w:after="120" w:before="0" w:line="276"/>
        <w:jc w:val="both"/>
      </w:pPr>
      <w:r>
        <w:rPr>
          <w:rFonts w:ascii="Calibri" w:cs="Calibri" w:eastAsia="Calibri" w:hAnsi="Calibri"/>
          <w:b w:val="false"/>
          <w:bCs w:val="false"/>
          <w:i w:val="false"/>
          <w:iCs w:val="false"/>
          <w:color w:val="000000"/>
          <w:sz w:val="21"/>
          <w:szCs w:val="21"/>
        </w:rPr>
        <w:t xml:space="preserve">Devre konu paylar, Şirket sermayesinin yüzde ……’sine karşılık gelmektedir. Paylara bağlı imtiyaz [bulunmamaktadır / şu şekildedir: ………………………].</w:t>
      </w:r>
    </w:p>
    <w:p>
      <w:pPr>
        <w:pStyle w:val="Heading2"/>
        <w:spacing w:after="120" w:before="280"/>
      </w:pPr>
      <w:r>
        <w:rPr>
          <w:rFonts w:ascii="Calibri" w:cs="Calibri" w:eastAsia="Calibri" w:hAnsi="Calibri"/>
          <w:b/>
          <w:bCs/>
          <w:color w:val="1F3864"/>
          <w:sz w:val="22"/>
          <w:szCs w:val="22"/>
        </w:rPr>
        <w:t xml:space="preserve">MADDE 5 — DEVIR BEDELI VE ÖDEME</w:t>
      </w:r>
    </w:p>
    <w:p>
      <w:pPr>
        <w:spacing w:after="100" w:before="0" w:line="276"/>
        <w:jc w:val="both"/>
      </w:pPr>
      <w:r>
        <w:rPr>
          <w:rFonts w:ascii="Calibri" w:cs="Calibri" w:eastAsia="Calibri" w:hAnsi="Calibri"/>
          <w:b w:val="false"/>
          <w:bCs w:val="false"/>
          <w:i w:val="false"/>
          <w:iCs w:val="false"/>
          <w:color w:val="000000"/>
          <w:sz w:val="21"/>
          <w:szCs w:val="21"/>
        </w:rPr>
        <w:t xml:space="preserve">5.1. Devir bedeli toplam ……………………… TL (yazıyla: ……………………… Türk Lirası) olarak kararlaştırılmıştır.</w:t>
      </w:r>
    </w:p>
    <w:p>
      <w:pPr>
        <w:spacing w:after="100" w:before="0" w:line="276"/>
        <w:jc w:val="both"/>
      </w:pPr>
      <w:r>
        <w:rPr>
          <w:rFonts w:ascii="Calibri" w:cs="Calibri" w:eastAsia="Calibri" w:hAnsi="Calibri"/>
          <w:b w:val="false"/>
          <w:bCs w:val="false"/>
          <w:i w:val="false"/>
          <w:iCs w:val="false"/>
          <w:color w:val="000000"/>
          <w:sz w:val="21"/>
          <w:szCs w:val="21"/>
        </w:rPr>
        <w:t xml:space="preserve">5.2. Devir bedeli [peşin olarak / aşağıdaki takvime göre] ödenecektir:</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000"/>
        <w:gridCol w:w="3200"/>
        <w:gridCol w:w="4438"/>
      </w:tblGrid>
      <w:tr>
        <w:tc>
          <w:tcPr>
            <w:tcW w:type="dxa" w:w="2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Taksit</w:t>
            </w:r>
          </w:p>
        </w:tc>
        <w:tc>
          <w:tcPr>
            <w:tcW w:type="dxa" w:w="32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Ödeme Tarihi</w:t>
            </w:r>
          </w:p>
        </w:tc>
        <w:tc>
          <w:tcPr>
            <w:tcW w:type="dxa" w:w="4438"/>
            <w:shd w:fill="F2F5FA" w:color="auto" w:val="clear"/>
            <w:tcMar>
              <w:top w:type="dxa" w:w="60"/>
              <w:left w:type="dxa" w:w="100"/>
              <w:bottom w:type="dxa" w:w="60"/>
              <w:right w:type="dxa" w:w="100"/>
            </w:tcMar>
          </w:tcPr>
          <w:p>
            <w:pPr>
              <w:spacing w:after="0" w:line="240"/>
              <w:jc w:val="right"/>
            </w:pPr>
            <w:r>
              <w:rPr>
                <w:rFonts w:ascii="Calibri" w:cs="Calibri" w:eastAsia="Calibri" w:hAnsi="Calibri"/>
                <w:b/>
                <w:bCs/>
                <w:color w:val="1F3864"/>
                <w:sz w:val="19"/>
                <w:szCs w:val="19"/>
              </w:rPr>
              <w:t xml:space="preserve">Tutar</w:t>
            </w:r>
          </w:p>
        </w:tc>
      </w:tr>
      <w:tr>
        <w:tc>
          <w:tcPr>
            <w:tcW w:type="dxa" w:w="2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1</w:t>
            </w:r>
          </w:p>
        </w:tc>
        <w:tc>
          <w:tcPr>
            <w:tcW w:type="dxa" w:w="32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 …… / 20……</w:t>
            </w:r>
          </w:p>
        </w:tc>
        <w:tc>
          <w:tcPr>
            <w:tcW w:type="dxa" w:w="4438"/>
            <w:tcMar>
              <w:top w:type="dxa" w:w="60"/>
              <w:left w:type="dxa" w:w="100"/>
              <w:bottom w:type="dxa" w:w="60"/>
              <w:right w:type="dxa" w:w="100"/>
            </w:tcMar>
          </w:tcPr>
          <w:p>
            <w:pPr>
              <w:spacing w:after="0" w:line="240"/>
              <w:jc w:val="right"/>
            </w:pPr>
            <w:r>
              <w:rPr>
                <w:rFonts w:ascii="Calibri" w:cs="Calibri" w:eastAsia="Calibri" w:hAnsi="Calibri"/>
                <w:b w:val="false"/>
                <w:bCs w:val="false"/>
                <w:color w:val="000000"/>
                <w:sz w:val="19"/>
                <w:szCs w:val="19"/>
              </w:rPr>
              <w:t xml:space="preserve">………… TL</w:t>
            </w:r>
          </w:p>
        </w:tc>
      </w:tr>
      <w:tr>
        <w:tc>
          <w:tcPr>
            <w:tcW w:type="dxa" w:w="2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2</w:t>
            </w:r>
          </w:p>
        </w:tc>
        <w:tc>
          <w:tcPr>
            <w:tcW w:type="dxa" w:w="32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 …… / 20……</w:t>
            </w:r>
          </w:p>
        </w:tc>
        <w:tc>
          <w:tcPr>
            <w:tcW w:type="dxa" w:w="4438"/>
            <w:tcMar>
              <w:top w:type="dxa" w:w="60"/>
              <w:left w:type="dxa" w:w="100"/>
              <w:bottom w:type="dxa" w:w="60"/>
              <w:right w:type="dxa" w:w="100"/>
            </w:tcMar>
          </w:tcPr>
          <w:p>
            <w:pPr>
              <w:spacing w:after="0" w:line="240"/>
              <w:jc w:val="right"/>
            </w:pPr>
            <w:r>
              <w:rPr>
                <w:rFonts w:ascii="Calibri" w:cs="Calibri" w:eastAsia="Calibri" w:hAnsi="Calibri"/>
                <w:b w:val="false"/>
                <w:bCs w:val="false"/>
                <w:color w:val="000000"/>
                <w:sz w:val="19"/>
                <w:szCs w:val="19"/>
              </w:rPr>
              <w:t xml:space="preserve">………… TL</w:t>
            </w:r>
          </w:p>
        </w:tc>
      </w:tr>
    </w:tbl>
    <w:p>
      <w:pPr>
        <w:spacing w:after="140"/>
      </w:pPr>
    </w:p>
    <w:p>
      <w:pPr>
        <w:spacing w:after="100" w:before="0" w:line="276"/>
        <w:jc w:val="both"/>
      </w:pPr>
      <w:r>
        <w:rPr>
          <w:rFonts w:ascii="Calibri" w:cs="Calibri" w:eastAsia="Calibri" w:hAnsi="Calibri"/>
          <w:b w:val="false"/>
          <w:bCs w:val="false"/>
          <w:i w:val="false"/>
          <w:iCs w:val="false"/>
          <w:color w:val="000000"/>
          <w:sz w:val="21"/>
          <w:szCs w:val="21"/>
        </w:rPr>
        <w:t xml:space="preserve">5.3. Ödemeler Devreden’in aşağıdaki banka hesabına yapılır. Nakit ödemede Devreden imzalı makbuz düzenler.</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7038"/>
      </w:tblGrid>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Banka / Şube</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IBAN</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TR ……  ……  ……  ……  ……  ……</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Hesap Sahibi</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bl>
    <w:p>
      <w:pPr>
        <w:spacing w:after="140"/>
      </w:pPr>
    </w:p>
    <w:p>
      <w:pPr>
        <w:spacing w:after="120" w:before="0" w:line="276"/>
        <w:jc w:val="both"/>
      </w:pPr>
      <w:r>
        <w:rPr>
          <w:rFonts w:ascii="Calibri" w:cs="Calibri" w:eastAsia="Calibri" w:hAnsi="Calibri"/>
          <w:b w:val="false"/>
          <w:bCs w:val="false"/>
          <w:i w:val="false"/>
          <w:iCs w:val="false"/>
          <w:color w:val="000000"/>
          <w:sz w:val="21"/>
          <w:szCs w:val="21"/>
        </w:rPr>
        <w:t xml:space="preserve">5.4. Devir bedelinin ödenmemesi halinde Devreden, temerrüt hükümleri saklı kalmak üzere sözleşmeyi feshetme hakkını saklı tutar.</w:t>
      </w:r>
    </w:p>
    <w:p>
      <w:pPr>
        <w:pStyle w:val="Heading2"/>
        <w:spacing w:after="120" w:before="280"/>
      </w:pPr>
      <w:r>
        <w:rPr>
          <w:rFonts w:ascii="Calibri" w:cs="Calibri" w:eastAsia="Calibri" w:hAnsi="Calibri"/>
          <w:b/>
          <w:bCs/>
          <w:color w:val="1F3864"/>
          <w:sz w:val="22"/>
          <w:szCs w:val="22"/>
        </w:rPr>
        <w:t xml:space="preserve">MADDE 6 — DEVRIN TAMAMLANMASI</w:t>
      </w:r>
    </w:p>
    <w:p>
      <w:pPr>
        <w:spacing w:after="140" w:before="0" w:line="276"/>
        <w:jc w:val="both"/>
      </w:pPr>
      <w:r>
        <w:rPr>
          <w:rFonts w:ascii="Calibri" w:cs="Calibri" w:eastAsia="Calibri" w:hAnsi="Calibri"/>
          <w:b w:val="false"/>
          <w:bCs w:val="false"/>
          <w:i/>
          <w:iCs/>
          <w:color w:val="595959"/>
          <w:sz w:val="20"/>
          <w:szCs w:val="20"/>
        </w:rPr>
        <w:t xml:space="preserve">Devir işlemi, devre konu payın türüne göre aşağıdaki şekilde tamamlanır. Somut devre uymayan fıkralar silinecektir.</w:t>
      </w:r>
    </w:p>
    <w:p>
      <w:pPr>
        <w:spacing w:after="120" w:before="0" w:line="276"/>
        <w:jc w:val="both"/>
      </w:pPr>
      <w:r>
        <w:rPr>
          <w:rFonts w:ascii="Calibri" w:cs="Calibri" w:eastAsia="Calibri" w:hAnsi="Calibri"/>
          <w:b/>
          <w:bCs/>
          <w:i w:val="false"/>
          <w:iCs w:val="false"/>
          <w:color w:val="000000"/>
          <w:sz w:val="21"/>
          <w:szCs w:val="21"/>
        </w:rPr>
        <w:t xml:space="preserve">6.1. Nama yazılı pay senedi. </w:t>
      </w:r>
      <w:r>
        <w:rPr>
          <w:rFonts w:ascii="Calibri" w:cs="Calibri" w:eastAsia="Calibri" w:hAnsi="Calibri"/>
          <w:b w:val="false"/>
          <w:bCs w:val="false"/>
          <w:i w:val="false"/>
          <w:iCs w:val="false"/>
          <w:color w:val="000000"/>
          <w:sz w:val="21"/>
          <w:szCs w:val="21"/>
        </w:rPr>
        <w:t xml:space="preserve">Devreden, devre konu nama yazılı pay senetlerini Devralan adına usulüne uygun şekilde ciro eder ve senetlerin zilyetliğini Devralan’a devreder (TTK m.490/2). Ciro tam ciro olarak yapılır, devralanın adı boş bırakılmaz.</w:t>
      </w:r>
    </w:p>
    <w:p>
      <w:pPr>
        <w:spacing w:after="120" w:before="0" w:line="276"/>
        <w:jc w:val="both"/>
      </w:pPr>
      <w:r>
        <w:rPr>
          <w:rFonts w:ascii="Calibri" w:cs="Calibri" w:eastAsia="Calibri" w:hAnsi="Calibri"/>
          <w:b/>
          <w:bCs/>
          <w:i w:val="false"/>
          <w:iCs w:val="false"/>
          <w:color w:val="000000"/>
          <w:sz w:val="21"/>
          <w:szCs w:val="21"/>
        </w:rPr>
        <w:t xml:space="preserve">6.2. Hamiline yazılı pay senedi. </w:t>
      </w:r>
      <w:r>
        <w:rPr>
          <w:rFonts w:ascii="Calibri" w:cs="Calibri" w:eastAsia="Calibri" w:hAnsi="Calibri"/>
          <w:b w:val="false"/>
          <w:bCs w:val="false"/>
          <w:i w:val="false"/>
          <w:iCs w:val="false"/>
          <w:color w:val="000000"/>
          <w:sz w:val="21"/>
          <w:szCs w:val="21"/>
        </w:rPr>
        <w:t xml:space="preserve">Devreden, devre konu hamiline yazılı pay senetlerinin zilyetliğini Devralan’a geçirir. Devralan, devri Merkezi Kayıt Kuruluşu’na bildirmekle yükümlüdür (TTK m.489). Bildirim, e-Devlet üzerindeki e-Yatırımcı ekranından doğrudan yapılabileceği gibi Şirkete başvurulmak suretiyle de yaptırılabilir. Bildirim yapılmadıkça paya bağlı haklar kullanılamaz.</w:t>
      </w:r>
    </w:p>
    <w:p>
      <w:pPr>
        <w:spacing w:after="120" w:before="0" w:line="276"/>
        <w:jc w:val="both"/>
      </w:pPr>
      <w:r>
        <w:rPr>
          <w:rFonts w:ascii="Calibri" w:cs="Calibri" w:eastAsia="Calibri" w:hAnsi="Calibri"/>
          <w:b/>
          <w:bCs/>
          <w:i w:val="false"/>
          <w:iCs w:val="false"/>
          <w:color w:val="000000"/>
          <w:sz w:val="21"/>
          <w:szCs w:val="21"/>
        </w:rPr>
        <w:t xml:space="preserve">6.3. İlmühaber. </w:t>
      </w:r>
      <w:r>
        <w:rPr>
          <w:rFonts w:ascii="Calibri" w:cs="Calibri" w:eastAsia="Calibri" w:hAnsi="Calibri"/>
          <w:b w:val="false"/>
          <w:bCs w:val="false"/>
          <w:i w:val="false"/>
          <w:iCs w:val="false"/>
          <w:color w:val="000000"/>
          <w:sz w:val="21"/>
          <w:szCs w:val="21"/>
        </w:rPr>
        <w:t xml:space="preserve">Devreden, ilmühaberi Devralan adına ciro eder ve zilyetliğini devreder. TTK m.486/2 uyarınca ilmühabere nama yazılı pay senedi hükümleri kıyasen uygulanır.</w:t>
      </w:r>
    </w:p>
    <w:p>
      <w:pPr>
        <w:spacing w:after="120" w:before="0" w:line="276"/>
        <w:jc w:val="both"/>
      </w:pPr>
      <w:r>
        <w:rPr>
          <w:rFonts w:ascii="Calibri" w:cs="Calibri" w:eastAsia="Calibri" w:hAnsi="Calibri"/>
          <w:b/>
          <w:bCs/>
          <w:i w:val="false"/>
          <w:iCs w:val="false"/>
          <w:color w:val="000000"/>
          <w:sz w:val="21"/>
          <w:szCs w:val="21"/>
        </w:rPr>
        <w:t xml:space="preserve">6.4. Çıplak pay. </w:t>
      </w:r>
      <w:r>
        <w:rPr>
          <w:rFonts w:ascii="Calibri" w:cs="Calibri" w:eastAsia="Calibri" w:hAnsi="Calibri"/>
          <w:b w:val="false"/>
          <w:bCs w:val="false"/>
          <w:i w:val="false"/>
          <w:iCs w:val="false"/>
          <w:color w:val="000000"/>
          <w:sz w:val="21"/>
          <w:szCs w:val="21"/>
        </w:rPr>
        <w:t xml:space="preserve">Senede bağlanmamış payın devri, işbu yazılı sözleşmeyle Türk Borçlar Kanunu m.183 ve devamındaki alacağın temliki hükümleri uyarınca gerçekleşir. TBK m.184 gereği yazılı şekil şartı işbu sözleşmeyle yerine getirilmiştir.</w:t>
      </w:r>
    </w:p>
    <w:p>
      <w:pPr>
        <w:spacing w:after="120" w:before="0" w:line="276"/>
        <w:jc w:val="both"/>
      </w:pPr>
      <w:r>
        <w:rPr>
          <w:rFonts w:ascii="Calibri" w:cs="Calibri" w:eastAsia="Calibri" w:hAnsi="Calibri"/>
          <w:b/>
          <w:bCs/>
          <w:i w:val="false"/>
          <w:iCs w:val="false"/>
          <w:color w:val="000000"/>
          <w:sz w:val="21"/>
          <w:szCs w:val="21"/>
        </w:rPr>
        <w:t xml:space="preserve">6.5. Pay defterine kayıt. </w:t>
      </w:r>
      <w:r>
        <w:rPr>
          <w:rFonts w:ascii="Calibri" w:cs="Calibri" w:eastAsia="Calibri" w:hAnsi="Calibri"/>
          <w:b w:val="false"/>
          <w:bCs w:val="false"/>
          <w:i w:val="false"/>
          <w:iCs w:val="false"/>
          <w:color w:val="000000"/>
          <w:sz w:val="21"/>
          <w:szCs w:val="21"/>
        </w:rPr>
        <w:t xml:space="preserve">Nama yazılı pay, ilmühaber ve çıplak pay devrinde Taraflar, devrin TTK m.499 uyarınca Şirket pay defterine işlenmesi için gerekli başvuruyu birlikte yaparlar. Devrin Şirkete karşı hüküm ifade etmesi bu kayda bağlıdır. Hamiline yazılı pay devrinde pay defterine kayıt yapılmaz.</w:t>
      </w:r>
    </w:p>
    <w:p>
      <w:pPr>
        <w:spacing w:after="120" w:before="0" w:line="276"/>
        <w:jc w:val="both"/>
      </w:pPr>
      <w:r>
        <w:rPr>
          <w:rFonts w:ascii="Calibri" w:cs="Calibri" w:eastAsia="Calibri" w:hAnsi="Calibri"/>
          <w:b/>
          <w:bCs/>
          <w:i w:val="false"/>
          <w:iCs w:val="false"/>
          <w:color w:val="000000"/>
          <w:sz w:val="21"/>
          <w:szCs w:val="21"/>
        </w:rPr>
        <w:t xml:space="preserve">6.6. Şirket onayı. </w:t>
      </w:r>
      <w:r>
        <w:rPr>
          <w:rFonts w:ascii="Calibri" w:cs="Calibri" w:eastAsia="Calibri" w:hAnsi="Calibri"/>
          <w:b w:val="false"/>
          <w:bCs w:val="false"/>
          <w:i w:val="false"/>
          <w:iCs w:val="false"/>
          <w:color w:val="000000"/>
          <w:sz w:val="21"/>
          <w:szCs w:val="21"/>
        </w:rPr>
        <w:t xml:space="preserve">Devrin Şirket onayına bağlı olduğu hallerde (TTK m.491 veya esas sözleşmedeki bağlam hükmü), onay alınıncaya kadar payın mülkiyeti ve paya bağlı tüm haklar Devreden’de kalır. Taraflar onay başvurusunu birlikte yapar.</w:t>
      </w:r>
    </w:p>
    <w:p>
      <w:pPr>
        <w:pStyle w:val="Heading2"/>
        <w:spacing w:after="120" w:before="280"/>
      </w:pPr>
      <w:r>
        <w:rPr>
          <w:rFonts w:ascii="Calibri" w:cs="Calibri" w:eastAsia="Calibri" w:hAnsi="Calibri"/>
          <w:b/>
          <w:bCs/>
          <w:color w:val="1F3864"/>
          <w:sz w:val="22"/>
          <w:szCs w:val="22"/>
        </w:rPr>
        <w:t xml:space="preserve">MADDE 7 — DEVREDENIN BEYAN VE TAAHHÜTLERI</w:t>
      </w:r>
    </w:p>
    <w:p>
      <w:pPr>
        <w:pStyle w:val="ListParagraph"/>
        <w:numPr>
          <w:ilvl w:val="0"/>
          <w:numId w:val="2"/>
        </w:numPr>
        <w:spacing w:after="80" w:line="276"/>
        <w:jc w:val="both"/>
      </w:pPr>
      <w:r>
        <w:rPr>
          <w:rFonts w:ascii="Calibri" w:cs="Calibri" w:eastAsia="Calibri" w:hAnsi="Calibri"/>
          <w:sz w:val="21"/>
          <w:szCs w:val="21"/>
        </w:rPr>
        <w:t xml:space="preserve">Devre konu payların tek ve gerçek maliki olduğunu, paylar üzerinde üçüncü kişilere ait mülkiyet, intifa, rehin, haciz, tedbir veya benzeri hiçbir takyidat bulunmadığını beyan eder.</w:t>
      </w:r>
    </w:p>
    <w:p>
      <w:pPr>
        <w:pStyle w:val="ListParagraph"/>
        <w:numPr>
          <w:ilvl w:val="0"/>
          <w:numId w:val="2"/>
        </w:numPr>
        <w:spacing w:after="80" w:line="276"/>
        <w:jc w:val="both"/>
      </w:pPr>
      <w:r>
        <w:rPr>
          <w:rFonts w:ascii="Calibri" w:cs="Calibri" w:eastAsia="Calibri" w:hAnsi="Calibri"/>
          <w:sz w:val="21"/>
          <w:szCs w:val="21"/>
        </w:rPr>
        <w:t xml:space="preserve">Devre konu payların bedellerinin Şirkete tamamen ödendiğini; ödenmemiş sermaye taahhüdü bulunması halinde bu durumu Devralan’a yazılı olarak bildirdiğini ve TTK m.491 uyarınca gerekli şirket onayının alındığını beyan eder.</w:t>
      </w:r>
    </w:p>
    <w:p>
      <w:pPr>
        <w:pStyle w:val="ListParagraph"/>
        <w:numPr>
          <w:ilvl w:val="0"/>
          <w:numId w:val="2"/>
        </w:numPr>
        <w:spacing w:after="80" w:line="276"/>
        <w:jc w:val="both"/>
      </w:pPr>
      <w:r>
        <w:rPr>
          <w:rFonts w:ascii="Calibri" w:cs="Calibri" w:eastAsia="Calibri" w:hAnsi="Calibri"/>
          <w:sz w:val="21"/>
          <w:szCs w:val="21"/>
        </w:rPr>
        <w:t xml:space="preserve">Şirket esas sözleşmesinde pay devrini sınırlayan bir bağlam hükmü bulunmadığını; bulunması halinde gerekli onayın alındığını beyan eder.</w:t>
      </w:r>
    </w:p>
    <w:p>
      <w:pPr>
        <w:pStyle w:val="ListParagraph"/>
        <w:numPr>
          <w:ilvl w:val="0"/>
          <w:numId w:val="2"/>
        </w:numPr>
        <w:spacing w:after="80" w:line="276"/>
        <w:jc w:val="both"/>
      </w:pPr>
      <w:r>
        <w:rPr>
          <w:rFonts w:ascii="Calibri" w:cs="Calibri" w:eastAsia="Calibri" w:hAnsi="Calibri"/>
          <w:sz w:val="21"/>
          <w:szCs w:val="21"/>
        </w:rPr>
        <w:t xml:space="preserve">Payların devrine engel olabilecek herhangi bir hissedarlar sözleşmesi, önalım, alım veya satım hakkı bulunmadığını beyan eder.</w:t>
      </w:r>
    </w:p>
    <w:p>
      <w:pPr>
        <w:pStyle w:val="ListParagraph"/>
        <w:numPr>
          <w:ilvl w:val="0"/>
          <w:numId w:val="2"/>
        </w:numPr>
        <w:spacing w:after="80" w:line="276"/>
        <w:jc w:val="both"/>
      </w:pPr>
      <w:r>
        <w:rPr>
          <w:rFonts w:ascii="Calibri" w:cs="Calibri" w:eastAsia="Calibri" w:hAnsi="Calibri"/>
          <w:sz w:val="21"/>
          <w:szCs w:val="21"/>
        </w:rPr>
        <w:t xml:space="preserve">Devirden doğan kendi vergi yükümlülüklerinden bizzat sorumlu olduğunu, ilgili beyanları süresinde vereceğini kabul eder.</w:t>
      </w:r>
    </w:p>
    <w:p>
      <w:pPr>
        <w:pStyle w:val="ListParagraph"/>
        <w:numPr>
          <w:ilvl w:val="0"/>
          <w:numId w:val="2"/>
        </w:numPr>
        <w:spacing w:after="80" w:line="276"/>
        <w:jc w:val="both"/>
      </w:pPr>
      <w:r>
        <w:rPr>
          <w:rFonts w:ascii="Calibri" w:cs="Calibri" w:eastAsia="Calibri" w:hAnsi="Calibri"/>
          <w:sz w:val="21"/>
          <w:szCs w:val="21"/>
        </w:rPr>
        <w:t xml:space="preserve">Şirket pay defterinin devre konu paylar bakımından güncel ve doğru olduğunu; kayıtlarda eksiklik bulunması halinde düzeltilmesi için gerekli desteği vereceğini taahhüt eder.</w:t>
      </w:r>
    </w:p>
    <w:p>
      <w:pPr>
        <w:pStyle w:val="ListParagraph"/>
        <w:numPr>
          <w:ilvl w:val="0"/>
          <w:numId w:val="2"/>
        </w:numPr>
        <w:spacing w:after="80" w:line="276"/>
        <w:jc w:val="both"/>
      </w:pPr>
      <w:r>
        <w:rPr>
          <w:rFonts w:ascii="Calibri" w:cs="Calibri" w:eastAsia="Calibri" w:hAnsi="Calibri"/>
          <w:sz w:val="21"/>
          <w:szCs w:val="21"/>
        </w:rPr>
        <w:t xml:space="preserve">Devrin tamamlanması için gerekli tüm belgeleri imzalamayı ve işlemleri yapmayı taahhüt eder.</w:t>
      </w:r>
    </w:p>
    <w:p>
      <w:pPr>
        <w:pStyle w:val="Heading2"/>
        <w:spacing w:after="120" w:before="280"/>
      </w:pPr>
      <w:r>
        <w:rPr>
          <w:rFonts w:ascii="Calibri" w:cs="Calibri" w:eastAsia="Calibri" w:hAnsi="Calibri"/>
          <w:b/>
          <w:bCs/>
          <w:color w:val="1F3864"/>
          <w:sz w:val="22"/>
          <w:szCs w:val="22"/>
        </w:rPr>
        <w:t xml:space="preserve">MADDE 8 — DEVRALANIN BEYAN VE TAAHHÜTLERI</w:t>
      </w:r>
    </w:p>
    <w:p>
      <w:pPr>
        <w:pStyle w:val="ListParagraph"/>
        <w:numPr>
          <w:ilvl w:val="0"/>
          <w:numId w:val="2"/>
        </w:numPr>
        <w:spacing w:after="80" w:line="276"/>
        <w:jc w:val="both"/>
      </w:pPr>
      <w:r>
        <w:rPr>
          <w:rFonts w:ascii="Calibri" w:cs="Calibri" w:eastAsia="Calibri" w:hAnsi="Calibri"/>
          <w:sz w:val="21"/>
          <w:szCs w:val="21"/>
        </w:rPr>
        <w:t xml:space="preserve">Şirketin esas sözleşmesini incelediğini, pay devrine ilişkin hükümleri bildiğini beyan eder.</w:t>
      </w:r>
    </w:p>
    <w:p>
      <w:pPr>
        <w:pStyle w:val="ListParagraph"/>
        <w:numPr>
          <w:ilvl w:val="0"/>
          <w:numId w:val="2"/>
        </w:numPr>
        <w:spacing w:after="80" w:line="276"/>
        <w:jc w:val="both"/>
      </w:pPr>
      <w:r>
        <w:rPr>
          <w:rFonts w:ascii="Calibri" w:cs="Calibri" w:eastAsia="Calibri" w:hAnsi="Calibri"/>
          <w:sz w:val="21"/>
          <w:szCs w:val="21"/>
        </w:rPr>
        <w:t xml:space="preserve">Devir bedelini Madde 5’te belirlenen şekilde ödemeyi taahhüt eder.</w:t>
      </w:r>
    </w:p>
    <w:p>
      <w:pPr>
        <w:pStyle w:val="ListParagraph"/>
        <w:numPr>
          <w:ilvl w:val="0"/>
          <w:numId w:val="2"/>
        </w:numPr>
        <w:spacing w:after="80" w:line="276"/>
        <w:jc w:val="both"/>
      </w:pPr>
      <w:r>
        <w:rPr>
          <w:rFonts w:ascii="Calibri" w:cs="Calibri" w:eastAsia="Calibri" w:hAnsi="Calibri"/>
          <w:sz w:val="21"/>
          <w:szCs w:val="21"/>
        </w:rPr>
        <w:t xml:space="preserve">Hamiline yazılı pay devrinde MKK bildirimini yapmakla yükümlü olduğunu bildiğini ve bildirimi gecikmeksizin yapacağını taahhüt eder.</w:t>
      </w:r>
    </w:p>
    <w:p>
      <w:pPr>
        <w:pStyle w:val="ListParagraph"/>
        <w:numPr>
          <w:ilvl w:val="0"/>
          <w:numId w:val="2"/>
        </w:numPr>
        <w:spacing w:after="80" w:line="276"/>
        <w:jc w:val="both"/>
      </w:pPr>
      <w:r>
        <w:rPr>
          <w:rFonts w:ascii="Calibri" w:cs="Calibri" w:eastAsia="Calibri" w:hAnsi="Calibri"/>
          <w:sz w:val="21"/>
          <w:szCs w:val="21"/>
        </w:rPr>
        <w:t xml:space="preserve">Bedeli tamamen ödenmemiş nama yazılı pay devralınması halinde, pay defterine kaydedilmekle birlikte kalan pay bedelinden Şirkete karşı sorumlu olacağını (TTK m.501/1) kabul eder.</w:t>
      </w:r>
    </w:p>
    <w:p>
      <w:pPr>
        <w:pStyle w:val="ListParagraph"/>
        <w:numPr>
          <w:ilvl w:val="0"/>
          <w:numId w:val="2"/>
        </w:numPr>
        <w:spacing w:after="80" w:line="276"/>
        <w:jc w:val="both"/>
      </w:pPr>
      <w:r>
        <w:rPr>
          <w:rFonts w:ascii="Calibri" w:cs="Calibri" w:eastAsia="Calibri" w:hAnsi="Calibri"/>
          <w:sz w:val="21"/>
          <w:szCs w:val="21"/>
        </w:rPr>
        <w:t xml:space="preserve">Devre konu paylara bağlı hak ve yükümlülükleri Devir Tarihi itibarıyla üstlendiğini kabul eder.</w:t>
      </w:r>
    </w:p>
    <w:p>
      <w:pPr>
        <w:pStyle w:val="Heading2"/>
        <w:spacing w:after="120" w:before="280"/>
      </w:pPr>
      <w:r>
        <w:rPr>
          <w:rFonts w:ascii="Calibri" w:cs="Calibri" w:eastAsia="Calibri" w:hAnsi="Calibri"/>
          <w:b/>
          <w:bCs/>
          <w:color w:val="1F3864"/>
          <w:sz w:val="22"/>
          <w:szCs w:val="22"/>
        </w:rPr>
        <w:t xml:space="preserve">MADDE 9 — KÂR PAYI, OY HAKKI VE DIĞER HAKLAR</w:t>
      </w:r>
    </w:p>
    <w:p>
      <w:pPr>
        <w:spacing w:after="100" w:before="0" w:line="276"/>
        <w:jc w:val="both"/>
      </w:pPr>
      <w:r>
        <w:rPr>
          <w:rFonts w:ascii="Calibri" w:cs="Calibri" w:eastAsia="Calibri" w:hAnsi="Calibri"/>
          <w:b w:val="false"/>
          <w:bCs w:val="false"/>
          <w:i w:val="false"/>
          <w:iCs w:val="false"/>
          <w:color w:val="000000"/>
          <w:sz w:val="21"/>
          <w:szCs w:val="21"/>
        </w:rPr>
        <w:t xml:space="preserve">9.1. Devre konu paylara bağlı kâr payı, oy, rüçhan, bilgi alma ve diğer tüm ortaklık hakları Devir Tarihi itibarıyla Devralan’a geçer.</w:t>
      </w:r>
    </w:p>
    <w:p>
      <w:pPr>
        <w:spacing w:after="100" w:before="0" w:line="276"/>
        <w:jc w:val="both"/>
      </w:pPr>
      <w:r>
        <w:rPr>
          <w:rFonts w:ascii="Calibri" w:cs="Calibri" w:eastAsia="Calibri" w:hAnsi="Calibri"/>
          <w:b w:val="false"/>
          <w:bCs w:val="false"/>
          <w:i w:val="false"/>
          <w:iCs w:val="false"/>
          <w:color w:val="000000"/>
          <w:sz w:val="21"/>
          <w:szCs w:val="21"/>
        </w:rPr>
        <w:t xml:space="preserve">9.2. Devir Tarihi’nden önceki hesap dönemlerine ait olup henüz dağıtılmamış kâr payları [Devreden’e / Devralan’a] aittir.</w:t>
      </w:r>
    </w:p>
    <w:p>
      <w:pPr>
        <w:spacing w:after="120" w:before="0" w:line="276"/>
        <w:jc w:val="both"/>
      </w:pPr>
      <w:r>
        <w:rPr>
          <w:rFonts w:ascii="Calibri" w:cs="Calibri" w:eastAsia="Calibri" w:hAnsi="Calibri"/>
          <w:b w:val="false"/>
          <w:bCs w:val="false"/>
          <w:i w:val="false"/>
          <w:iCs w:val="false"/>
          <w:color w:val="000000"/>
          <w:sz w:val="21"/>
          <w:szCs w:val="21"/>
        </w:rPr>
        <w:t xml:space="preserve">9.3. Devrin Şirkete karşı hüküm ifade etmesi, pay türüne uygun kayıt veya bildirimin tamamlanmasına bağlıdır. Bu tamamlanıncaya kadar Devralan Şirket nezdinde ortaklık haklarını kullanamaz.</w:t>
      </w:r>
    </w:p>
    <w:p>
      <w:pPr>
        <w:pStyle w:val="Heading2"/>
        <w:spacing w:after="120" w:before="280"/>
      </w:pPr>
      <w:r>
        <w:rPr>
          <w:rFonts w:ascii="Calibri" w:cs="Calibri" w:eastAsia="Calibri" w:hAnsi="Calibri"/>
          <w:b/>
          <w:bCs/>
          <w:color w:val="1F3864"/>
          <w:sz w:val="22"/>
          <w:szCs w:val="22"/>
        </w:rPr>
        <w:t xml:space="preserve">MADDE 10 — VERGI VE MASRAFLAR</w:t>
      </w:r>
    </w:p>
    <w:p>
      <w:pPr>
        <w:spacing w:after="100" w:before="0" w:line="276"/>
        <w:jc w:val="both"/>
      </w:pPr>
      <w:r>
        <w:rPr>
          <w:rFonts w:ascii="Calibri" w:cs="Calibri" w:eastAsia="Calibri" w:hAnsi="Calibri"/>
          <w:b w:val="false"/>
          <w:bCs w:val="false"/>
          <w:i w:val="false"/>
          <w:iCs w:val="false"/>
          <w:color w:val="000000"/>
          <w:sz w:val="21"/>
          <w:szCs w:val="21"/>
        </w:rPr>
        <w:t xml:space="preserve">10.1. Devirden doğan vergi yükümlülükleri her Taraf bakımından ilgili mevzuat hükümlerine göre belirlenir ve her Taraf kendi vergisinden sorumludur.</w:t>
      </w:r>
    </w:p>
    <w:p>
      <w:pPr>
        <w:spacing w:after="100" w:before="0" w:line="276"/>
        <w:jc w:val="both"/>
      </w:pPr>
      <w:r>
        <w:rPr>
          <w:rFonts w:ascii="Calibri" w:cs="Calibri" w:eastAsia="Calibri" w:hAnsi="Calibri"/>
          <w:b w:val="false"/>
          <w:bCs w:val="false"/>
          <w:i w:val="false"/>
          <w:iCs w:val="false"/>
          <w:color w:val="000000"/>
          <w:sz w:val="21"/>
          <w:szCs w:val="21"/>
        </w:rPr>
        <w:t xml:space="preserve">10.2. Sözleşmenin düzenlenmesinden doğan masraflar ile talep edilmesi halinde noter masrafları [Devreden / Devralan / Taraflarca eşit olarak] karşılanır.</w:t>
      </w:r>
    </w:p>
    <w:p>
      <w:pPr>
        <w:spacing w:after="120" w:before="0" w:line="276"/>
        <w:jc w:val="both"/>
      </w:pPr>
      <w:r>
        <w:rPr>
          <w:rFonts w:ascii="Calibri" w:cs="Calibri" w:eastAsia="Calibri" w:hAnsi="Calibri"/>
          <w:b w:val="false"/>
          <w:bCs w:val="false"/>
          <w:i w:val="false"/>
          <w:iCs w:val="false"/>
          <w:color w:val="000000"/>
          <w:sz w:val="21"/>
          <w:szCs w:val="21"/>
        </w:rPr>
        <w:t xml:space="preserve">10.3. Pay senedine bağlı payların devri damga vergisinden istisnadır.</w:t>
      </w:r>
    </w:p>
    <w:p>
      <w:pPr>
        <w:pStyle w:val="Heading2"/>
        <w:spacing w:after="120" w:before="280"/>
      </w:pPr>
      <w:r>
        <w:rPr>
          <w:rFonts w:ascii="Calibri" w:cs="Calibri" w:eastAsia="Calibri" w:hAnsi="Calibri"/>
          <w:b/>
          <w:bCs/>
          <w:color w:val="1F3864"/>
          <w:sz w:val="22"/>
          <w:szCs w:val="22"/>
        </w:rPr>
        <w:t xml:space="preserve">MADDE 11 — GIZLILIK</w:t>
      </w:r>
    </w:p>
    <w:p>
      <w:pPr>
        <w:spacing w:after="120" w:before="0" w:line="276"/>
        <w:jc w:val="both"/>
      </w:pPr>
      <w:r>
        <w:rPr>
          <w:rFonts w:ascii="Calibri" w:cs="Calibri" w:eastAsia="Calibri" w:hAnsi="Calibri"/>
          <w:b w:val="false"/>
          <w:bCs w:val="false"/>
          <w:i w:val="false"/>
          <w:iCs w:val="false"/>
          <w:color w:val="000000"/>
          <w:sz w:val="21"/>
          <w:szCs w:val="21"/>
        </w:rPr>
        <w:t xml:space="preserve">Taraflar, işbu sözleşme ve Şirkete ilişkin öğrendikleri ticari bilgileri, kanunen açıklama yükümlülüğü bulunan haller dışında üçüncü kişilerle paylaşmamayı kabul eder.</w:t>
      </w:r>
    </w:p>
    <w:p>
      <w:pPr>
        <w:pStyle w:val="Heading2"/>
        <w:spacing w:after="120" w:before="280"/>
      </w:pPr>
      <w:r>
        <w:rPr>
          <w:rFonts w:ascii="Calibri" w:cs="Calibri" w:eastAsia="Calibri" w:hAnsi="Calibri"/>
          <w:b/>
          <w:bCs/>
          <w:color w:val="1F3864"/>
          <w:sz w:val="22"/>
          <w:szCs w:val="22"/>
        </w:rPr>
        <w:t xml:space="preserve">MADDE 12 — TEBLIGAT</w:t>
      </w:r>
    </w:p>
    <w:p>
      <w:pPr>
        <w:spacing w:after="120" w:before="0" w:line="276"/>
        <w:jc w:val="both"/>
      </w:pPr>
      <w:r>
        <w:rPr>
          <w:rFonts w:ascii="Calibri" w:cs="Calibri" w:eastAsia="Calibri" w:hAnsi="Calibri"/>
          <w:b w:val="false"/>
          <w:bCs w:val="false"/>
          <w:i w:val="false"/>
          <w:iCs w:val="false"/>
          <w:color w:val="000000"/>
          <w:sz w:val="21"/>
          <w:szCs w:val="21"/>
        </w:rPr>
        <w:t xml:space="preserve">Madde 1’de yazılı adresler Tarafların yasal tebligat adresleridir. Adres değişikliği karşı Tarafa yazılı olarak bildirilmedikçe eski adrese yapılan tebligat geçerli sayılır.</w:t>
      </w:r>
    </w:p>
    <w:p>
      <w:pPr>
        <w:pStyle w:val="Heading2"/>
        <w:spacing w:after="120" w:before="280"/>
      </w:pPr>
      <w:r>
        <w:rPr>
          <w:rFonts w:ascii="Calibri" w:cs="Calibri" w:eastAsia="Calibri" w:hAnsi="Calibri"/>
          <w:b/>
          <w:bCs/>
          <w:color w:val="1F3864"/>
          <w:sz w:val="22"/>
          <w:szCs w:val="22"/>
        </w:rPr>
        <w:t xml:space="preserve">MADDE 13 — SÖZLEŞMENIN BÜTÜNLÜĞÜ VE DEĞIŞIKLIK</w:t>
      </w:r>
    </w:p>
    <w:p>
      <w:pPr>
        <w:spacing w:after="100" w:before="0" w:line="276"/>
        <w:jc w:val="both"/>
      </w:pPr>
      <w:r>
        <w:rPr>
          <w:rFonts w:ascii="Calibri" w:cs="Calibri" w:eastAsia="Calibri" w:hAnsi="Calibri"/>
          <w:b w:val="false"/>
          <w:bCs w:val="false"/>
          <w:i w:val="false"/>
          <w:iCs w:val="false"/>
          <w:color w:val="000000"/>
          <w:sz w:val="21"/>
          <w:szCs w:val="21"/>
        </w:rPr>
        <w:t xml:space="preserve">13.1. İşbu sözleşme, konusuna ilişkin olarak Taraflar arasındaki anlaşmanın tamamını oluşturur ve önceki tüm görüşme ve yazışmaların yerine geçer.</w:t>
      </w:r>
    </w:p>
    <w:p>
      <w:pPr>
        <w:spacing w:after="100" w:before="0" w:line="276"/>
        <w:jc w:val="both"/>
      </w:pPr>
      <w:r>
        <w:rPr>
          <w:rFonts w:ascii="Calibri" w:cs="Calibri" w:eastAsia="Calibri" w:hAnsi="Calibri"/>
          <w:b w:val="false"/>
          <w:bCs w:val="false"/>
          <w:i w:val="false"/>
          <w:iCs w:val="false"/>
          <w:color w:val="000000"/>
          <w:sz w:val="21"/>
          <w:szCs w:val="21"/>
        </w:rPr>
        <w:t xml:space="preserve">13.2. Sözleşmede yapılacak her türlü değişiklik yazılı olarak ve Tarafların imzasıyla geçerlilik kazanır.</w:t>
      </w:r>
    </w:p>
    <w:p>
      <w:pPr>
        <w:spacing w:after="120" w:before="0" w:line="276"/>
        <w:jc w:val="both"/>
      </w:pPr>
      <w:r>
        <w:rPr>
          <w:rFonts w:ascii="Calibri" w:cs="Calibri" w:eastAsia="Calibri" w:hAnsi="Calibri"/>
          <w:b w:val="false"/>
          <w:bCs w:val="false"/>
          <w:i w:val="false"/>
          <w:iCs w:val="false"/>
          <w:color w:val="000000"/>
          <w:sz w:val="21"/>
          <w:szCs w:val="21"/>
        </w:rPr>
        <w:t xml:space="preserve">13.3. Sözleşmenin herhangi bir hükmünün geçersiz sayılması diğer hükümlerin geçerliliğini etkilemez.</w:t>
      </w:r>
    </w:p>
    <w:p>
      <w:pPr>
        <w:pStyle w:val="Heading2"/>
        <w:spacing w:after="120" w:before="280"/>
      </w:pPr>
      <w:r>
        <w:rPr>
          <w:rFonts w:ascii="Calibri" w:cs="Calibri" w:eastAsia="Calibri" w:hAnsi="Calibri"/>
          <w:b/>
          <w:bCs/>
          <w:color w:val="1F3864"/>
          <w:sz w:val="22"/>
          <w:szCs w:val="22"/>
        </w:rPr>
        <w:t xml:space="preserve">MADDE 14 — UYGULANACAK HUKUK VE YETKILI MAHKEME</w:t>
      </w:r>
    </w:p>
    <w:p>
      <w:pPr>
        <w:spacing w:after="120" w:before="0" w:line="276"/>
        <w:jc w:val="both"/>
      </w:pPr>
      <w:r>
        <w:rPr>
          <w:rFonts w:ascii="Calibri" w:cs="Calibri" w:eastAsia="Calibri" w:hAnsi="Calibri"/>
          <w:b w:val="false"/>
          <w:bCs w:val="false"/>
          <w:i w:val="false"/>
          <w:iCs w:val="false"/>
          <w:color w:val="000000"/>
          <w:sz w:val="21"/>
          <w:szCs w:val="21"/>
        </w:rPr>
        <w:t xml:space="preserve">İşbu sözleşmeye Türk hukuku uygulanır. Sözleşmeden doğan uyuşmazlıklarda ……………………… Mahkemeleri ve İcra Daireleri yetkilidir.</w:t>
      </w:r>
    </w:p>
    <w:p>
      <w:pPr>
        <w:pStyle w:val="Heading2"/>
        <w:spacing w:after="120" w:before="280"/>
      </w:pPr>
      <w:r>
        <w:rPr>
          <w:rFonts w:ascii="Calibri" w:cs="Calibri" w:eastAsia="Calibri" w:hAnsi="Calibri"/>
          <w:b/>
          <w:bCs/>
          <w:color w:val="1F3864"/>
          <w:sz w:val="22"/>
          <w:szCs w:val="22"/>
        </w:rPr>
        <w:t xml:space="preserve">MADDE 15 — YÜRÜRLÜK</w:t>
      </w:r>
    </w:p>
    <w:p>
      <w:pPr>
        <w:spacing w:after="300" w:before="0" w:line="276"/>
        <w:jc w:val="both"/>
      </w:pPr>
      <w:r>
        <w:rPr>
          <w:rFonts w:ascii="Calibri" w:cs="Calibri" w:eastAsia="Calibri" w:hAnsi="Calibri"/>
          <w:b w:val="false"/>
          <w:bCs w:val="false"/>
          <w:i w:val="false"/>
          <w:iCs w:val="false"/>
          <w:color w:val="000000"/>
          <w:sz w:val="21"/>
          <w:szCs w:val="21"/>
        </w:rPr>
        <w:t xml:space="preserve">İşbu sözleşme …… (………) maddeden ibaret olup, …… / …… / 20…… tarihinde …… nüsha olarak düzenlenmiş, Taraflarca okunarak imzalanmış ve yürürlüğe girmiştir. Bir nüshası Şirkete tevdi edilecektir.</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4819"/>
        <w:gridCol w:w="4819"/>
      </w:tblGrid>
      <w:tr>
        <w:tc>
          <w:tcPr>
            <w:tcW w:type="dxa" w:w="4819"/>
            <w:shd w:fill="F2F5FA" w:color="auto" w:val="clear"/>
            <w:tcMar>
              <w:top w:type="dxa" w:w="60"/>
              <w:left w:type="dxa" w:w="100"/>
              <w:bottom w:type="dxa" w:w="60"/>
              <w:right w:type="dxa" w:w="100"/>
            </w:tcMar>
          </w:tcPr>
          <w:p>
            <w:pPr>
              <w:spacing w:after="0" w:line="240"/>
              <w:jc w:val="center"/>
            </w:pPr>
            <w:r>
              <w:rPr>
                <w:rFonts w:ascii="Calibri" w:cs="Calibri" w:eastAsia="Calibri" w:hAnsi="Calibri"/>
                <w:b/>
                <w:bCs/>
                <w:color w:val="1F3864"/>
                <w:sz w:val="19"/>
                <w:szCs w:val="19"/>
              </w:rPr>
              <w:t xml:space="preserve">DEVREDEN</w:t>
            </w:r>
          </w:p>
        </w:tc>
        <w:tc>
          <w:tcPr>
            <w:tcW w:type="dxa" w:w="4819"/>
            <w:shd w:fill="F2F5FA" w:color="auto" w:val="clear"/>
            <w:tcMar>
              <w:top w:type="dxa" w:w="60"/>
              <w:left w:type="dxa" w:w="100"/>
              <w:bottom w:type="dxa" w:w="60"/>
              <w:right w:type="dxa" w:w="100"/>
            </w:tcMar>
          </w:tcPr>
          <w:p>
            <w:pPr>
              <w:spacing w:after="0" w:line="240"/>
              <w:jc w:val="center"/>
            </w:pPr>
            <w:r>
              <w:rPr>
                <w:rFonts w:ascii="Calibri" w:cs="Calibri" w:eastAsia="Calibri" w:hAnsi="Calibri"/>
                <w:b/>
                <w:bCs/>
                <w:color w:val="1F3864"/>
                <w:sz w:val="19"/>
                <w:szCs w:val="19"/>
              </w:rPr>
              <w:t xml:space="preserve">DEVRALAN</w:t>
            </w:r>
          </w:p>
        </w:tc>
      </w:tr>
      <w:tr>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Adı Soyadı / Unvanı</w:t>
            </w:r>
          </w:p>
        </w:tc>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Adı Soyadı / Unvanı</w:t>
            </w:r>
          </w:p>
        </w:tc>
      </w:tr>
      <w:tr>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İmza</w:t>
            </w:r>
          </w:p>
        </w:tc>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İmza</w:t>
            </w:r>
          </w:p>
        </w:tc>
      </w:tr>
      <w:tr>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r>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4819"/>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bl>
    <w:p>
      <w:r>
        <w:br w:type="page"/>
      </w:r>
    </w:p>
    <w:p>
      <w:pPr>
        <w:pStyle w:val="Heading1"/>
        <w:pBdr>
          <w:bottom w:val="single" w:color="1F3864" w:sz="8" w:space="6"/>
        </w:pBdr>
        <w:spacing w:after="160" w:before="320"/>
      </w:pPr>
      <w:r>
        <w:rPr>
          <w:rFonts w:ascii="Calibri" w:cs="Calibri" w:eastAsia="Calibri" w:hAnsi="Calibri"/>
          <w:b/>
          <w:bCs/>
          <w:color w:val="1F3864"/>
          <w:sz w:val="26"/>
          <w:szCs w:val="26"/>
        </w:rPr>
        <w:t xml:space="preserve">Ekler</w:t>
      </w:r>
    </w:p>
    <w:p>
      <w:pPr>
        <w:pStyle w:val="ListParagraph"/>
        <w:numPr>
          <w:ilvl w:val="0"/>
          <w:numId w:val="2"/>
        </w:numPr>
        <w:spacing w:after="80" w:line="276"/>
        <w:jc w:val="both"/>
      </w:pPr>
      <w:r>
        <w:rPr>
          <w:rFonts w:ascii="Calibri" w:cs="Calibri" w:eastAsia="Calibri" w:hAnsi="Calibri"/>
          <w:sz w:val="21"/>
          <w:szCs w:val="21"/>
        </w:rPr>
        <w:t xml:space="preserve">EK-1: Şirket esas sözleşmesinin ilgili maddelerinin örneği</w:t>
      </w:r>
    </w:p>
    <w:p>
      <w:pPr>
        <w:pStyle w:val="ListParagraph"/>
        <w:numPr>
          <w:ilvl w:val="0"/>
          <w:numId w:val="2"/>
        </w:numPr>
        <w:spacing w:after="80" w:line="276"/>
        <w:jc w:val="both"/>
      </w:pPr>
      <w:r>
        <w:rPr>
          <w:rFonts w:ascii="Calibri" w:cs="Calibri" w:eastAsia="Calibri" w:hAnsi="Calibri"/>
          <w:sz w:val="21"/>
          <w:szCs w:val="21"/>
        </w:rPr>
        <w:t xml:space="preserve">EK-2: Pay devrine ilişkin yönetim kurulu kararı örneği</w:t>
      </w:r>
    </w:p>
    <w:p>
      <w:pPr>
        <w:pStyle w:val="ListParagraph"/>
        <w:numPr>
          <w:ilvl w:val="0"/>
          <w:numId w:val="2"/>
        </w:numPr>
        <w:spacing w:after="80" w:line="276"/>
        <w:jc w:val="both"/>
      </w:pPr>
      <w:r>
        <w:rPr>
          <w:rFonts w:ascii="Calibri" w:cs="Calibri" w:eastAsia="Calibri" w:hAnsi="Calibri"/>
          <w:sz w:val="21"/>
          <w:szCs w:val="21"/>
        </w:rPr>
        <w:t xml:space="preserve">EK-3: Pay defterinin ilgili sayfalarının örneği</w:t>
      </w:r>
    </w:p>
    <w:p>
      <w:pPr>
        <w:pStyle w:val="ListParagraph"/>
        <w:numPr>
          <w:ilvl w:val="0"/>
          <w:numId w:val="2"/>
        </w:numPr>
        <w:spacing w:after="80" w:line="276"/>
        <w:jc w:val="both"/>
      </w:pPr>
      <w:r>
        <w:rPr>
          <w:rFonts w:ascii="Calibri" w:cs="Calibri" w:eastAsia="Calibri" w:hAnsi="Calibri"/>
          <w:sz w:val="21"/>
          <w:szCs w:val="21"/>
        </w:rPr>
        <w:t xml:space="preserve">EK-4: Varsa pay senedinin veya ilmühaberin fotokopisi</w:t>
      </w:r>
    </w:p>
    <w:p>
      <w:pPr>
        <w:pStyle w:val="ListParagraph"/>
        <w:numPr>
          <w:ilvl w:val="0"/>
          <w:numId w:val="2"/>
        </w:numPr>
        <w:spacing w:after="80" w:line="276"/>
        <w:jc w:val="both"/>
      </w:pPr>
      <w:r>
        <w:rPr>
          <w:rFonts w:ascii="Calibri" w:cs="Calibri" w:eastAsia="Calibri" w:hAnsi="Calibri"/>
          <w:sz w:val="21"/>
          <w:szCs w:val="21"/>
        </w:rPr>
        <w:t xml:space="preserve">EK-5: Tarafların kimlik belgelerinin fotokopisi</w:t>
      </w:r>
    </w:p>
    <w:p>
      <w:pPr>
        <w:pStyle w:val="ListParagraph"/>
        <w:numPr>
          <w:ilvl w:val="0"/>
          <w:numId w:val="2"/>
        </w:numPr>
        <w:spacing w:after="80" w:line="276"/>
        <w:jc w:val="both"/>
      </w:pPr>
      <w:r>
        <w:rPr>
          <w:rFonts w:ascii="Calibri" w:cs="Calibri" w:eastAsia="Calibri" w:hAnsi="Calibri"/>
          <w:sz w:val="21"/>
          <w:szCs w:val="21"/>
        </w:rPr>
        <w:t xml:space="preserve">EK-6: Yabancı gerçek kişide noter onaylı pasaport sureti ve vergi kimlik numarası</w:t>
      </w:r>
    </w:p>
    <w:p>
      <w:pPr>
        <w:pStyle w:val="ListParagraph"/>
        <w:numPr>
          <w:ilvl w:val="0"/>
          <w:numId w:val="2"/>
        </w:numPr>
        <w:spacing w:after="80" w:line="276"/>
        <w:jc w:val="both"/>
      </w:pPr>
      <w:r>
        <w:rPr>
          <w:rFonts w:ascii="Calibri" w:cs="Calibri" w:eastAsia="Calibri" w:hAnsi="Calibri"/>
          <w:sz w:val="21"/>
          <w:szCs w:val="21"/>
        </w:rPr>
        <w:t xml:space="preserve">EK-7: Yabancı tüzel kişide apostilli faaliyet belgesi, yetki belgesi ve yeminli tercümesi</w:t>
      </w:r>
    </w:p>
    <w:p>
      <w:pPr>
        <w:pStyle w:val="ListParagraph"/>
        <w:numPr>
          <w:ilvl w:val="0"/>
          <w:numId w:val="2"/>
        </w:numPr>
        <w:spacing w:after="80" w:line="276"/>
        <w:jc w:val="both"/>
      </w:pPr>
      <w:r>
        <w:rPr>
          <w:rFonts w:ascii="Calibri" w:cs="Calibri" w:eastAsia="Calibri" w:hAnsi="Calibri"/>
          <w:sz w:val="21"/>
          <w:szCs w:val="21"/>
        </w:rPr>
        <w:t xml:space="preserve">EK-8: Hamiline yazılı payda MKK bildirim teyidi</w:t>
      </w:r>
    </w:p>
    <w:p>
      <w:pPr>
        <w:pStyle w:val="Heading1"/>
        <w:pBdr>
          <w:bottom w:val="single" w:color="1F3864" w:sz="8" w:space="6"/>
        </w:pBdr>
        <w:spacing w:after="160" w:before="320"/>
      </w:pPr>
      <w:r>
        <w:rPr>
          <w:rFonts w:ascii="Calibri" w:cs="Calibri" w:eastAsia="Calibri" w:hAnsi="Calibri"/>
          <w:b/>
          <w:bCs/>
          <w:color w:val="1F3864"/>
          <w:sz w:val="26"/>
          <w:szCs w:val="26"/>
        </w:rPr>
        <w:t xml:space="preserve">Doldurma Notları</w:t>
      </w:r>
    </w:p>
    <w:p>
      <w:pPr>
        <w:pStyle w:val="ListParagraph"/>
        <w:numPr>
          <w:ilvl w:val="0"/>
          <w:numId w:val="2"/>
        </w:numPr>
        <w:spacing w:after="80" w:line="276"/>
        <w:jc w:val="both"/>
      </w:pPr>
      <w:r>
        <w:rPr>
          <w:rFonts w:ascii="Calibri" w:cs="Calibri" w:eastAsia="Calibri" w:hAnsi="Calibri"/>
          <w:sz w:val="21"/>
          <w:szCs w:val="21"/>
        </w:rPr>
        <w:t xml:space="preserve">Önce pay türünü belirleyin. Madde 4 ve Madde 6, pay türüne göre doldurulur; uygulanmayan fıkralar silinir.</w:t>
      </w:r>
    </w:p>
    <w:p>
      <w:pPr>
        <w:pStyle w:val="ListParagraph"/>
        <w:numPr>
          <w:ilvl w:val="0"/>
          <w:numId w:val="2"/>
        </w:numPr>
        <w:spacing w:after="80" w:line="276"/>
        <w:jc w:val="both"/>
      </w:pPr>
      <w:r>
        <w:rPr>
          <w:rFonts w:ascii="Calibri" w:cs="Calibri" w:eastAsia="Calibri" w:hAnsi="Calibri"/>
          <w:sz w:val="21"/>
          <w:szCs w:val="21"/>
        </w:rPr>
        <w:t xml:space="preserve">Devir bedeli net bir rakamla yazılmalıdır. Bedelin belirsiz bırakılması hem ispat hem vergi tarafında sorun doğurur.</w:t>
      </w:r>
    </w:p>
    <w:p>
      <w:pPr>
        <w:pStyle w:val="ListParagraph"/>
        <w:numPr>
          <w:ilvl w:val="0"/>
          <w:numId w:val="2"/>
        </w:numPr>
        <w:spacing w:after="80" w:line="276"/>
        <w:jc w:val="both"/>
      </w:pPr>
      <w:r>
        <w:rPr>
          <w:rFonts w:ascii="Calibri" w:cs="Calibri" w:eastAsia="Calibri" w:hAnsi="Calibri"/>
          <w:sz w:val="21"/>
          <w:szCs w:val="21"/>
        </w:rPr>
        <w:t xml:space="preserve">Esas sözleşmede bağlam hükmü varsa veya pay bedeli tamamen ödenmemişse, sözleşme imzalanmadan önce şirket onayı alınmalıdır.</w:t>
      </w:r>
    </w:p>
    <w:p>
      <w:pPr>
        <w:pStyle w:val="ListParagraph"/>
        <w:numPr>
          <w:ilvl w:val="0"/>
          <w:numId w:val="2"/>
        </w:numPr>
        <w:spacing w:after="80" w:line="276"/>
        <w:jc w:val="both"/>
      </w:pPr>
      <w:r>
        <w:rPr>
          <w:rFonts w:ascii="Calibri" w:cs="Calibri" w:eastAsia="Calibri" w:hAnsi="Calibri"/>
          <w:sz w:val="21"/>
          <w:szCs w:val="21"/>
        </w:rPr>
        <w:t xml:space="preserve">Nama yazılı pay senedinde ciro tek başına yetmez, senedin zilyetliğinin de devredilmesi gerekir.</w:t>
      </w:r>
    </w:p>
    <w:p>
      <w:pPr>
        <w:pStyle w:val="ListParagraph"/>
        <w:numPr>
          <w:ilvl w:val="0"/>
          <w:numId w:val="2"/>
        </w:numPr>
        <w:spacing w:after="80" w:line="276"/>
        <w:jc w:val="both"/>
      </w:pPr>
      <w:r>
        <w:rPr>
          <w:rFonts w:ascii="Calibri" w:cs="Calibri" w:eastAsia="Calibri" w:hAnsi="Calibri"/>
          <w:sz w:val="21"/>
          <w:szCs w:val="21"/>
        </w:rPr>
        <w:t xml:space="preserve">Hamiline yazılı payda MKK bildirimi yapılmadıkça devralan haklarını kullanamaz. Bildirim yükümlülüğü devralandadır.</w:t>
      </w:r>
    </w:p>
    <w:p>
      <w:pPr>
        <w:pStyle w:val="ListParagraph"/>
        <w:numPr>
          <w:ilvl w:val="0"/>
          <w:numId w:val="2"/>
        </w:numPr>
        <w:spacing w:after="80" w:line="276"/>
        <w:jc w:val="both"/>
      </w:pPr>
      <w:r>
        <w:rPr>
          <w:rFonts w:ascii="Calibri" w:cs="Calibri" w:eastAsia="Calibri" w:hAnsi="Calibri"/>
          <w:sz w:val="21"/>
          <w:szCs w:val="21"/>
        </w:rPr>
        <w:t xml:space="preserve">Devir tamamlandıktan sonra pay defterine kayıt talebi gecikmeden yapılmalıdır. Kayıtta devir tarihinin yazılması unutulmamalıdır.</w:t>
      </w:r>
    </w:p>
    <w:p>
      <w:pPr>
        <w:pStyle w:val="ListParagraph"/>
        <w:numPr>
          <w:ilvl w:val="0"/>
          <w:numId w:val="2"/>
        </w:numPr>
        <w:spacing w:after="80" w:line="276"/>
        <w:jc w:val="both"/>
      </w:pPr>
      <w:r>
        <w:rPr>
          <w:rFonts w:ascii="Calibri" w:cs="Calibri" w:eastAsia="Calibri" w:hAnsi="Calibri"/>
          <w:sz w:val="21"/>
          <w:szCs w:val="21"/>
        </w:rPr>
        <w:t xml:space="preserve">Noter onayı zorunlu değildir. Yüksek bedelli devirlerde, aile şirketi içi devirlerde ve taraflar arasında güven sorunu bulunan işlemlerde ispat gücünü artırır.</w:t>
      </w:r>
    </w:p>
    <w:p>
      <w:pPr>
        <w:pStyle w:val="ListParagraph"/>
        <w:numPr>
          <w:ilvl w:val="0"/>
          <w:numId w:val="2"/>
        </w:numPr>
        <w:spacing w:after="80" w:line="276"/>
        <w:jc w:val="both"/>
      </w:pPr>
      <w:r>
        <w:rPr>
          <w:rFonts w:ascii="Calibri" w:cs="Calibri" w:eastAsia="Calibri" w:hAnsi="Calibri"/>
          <w:sz w:val="21"/>
          <w:szCs w:val="21"/>
        </w:rPr>
        <w:t xml:space="preserve">Sözleşme, tarafların her biri ile Şirkete birer nüsha kalacak şekilde düzenlenmelidir.</w:t>
      </w:r>
    </w:p>
    <w:p>
      <w:pPr>
        <w:pStyle w:val="Heading1"/>
        <w:pBdr>
          <w:bottom w:val="single" w:color="1F3864" w:sz="8" w:space="6"/>
        </w:pBdr>
        <w:spacing w:after="160" w:before="320"/>
      </w:pPr>
      <w:r>
        <w:rPr>
          <w:rFonts w:ascii="Calibri" w:cs="Calibri" w:eastAsia="Calibri" w:hAnsi="Calibri"/>
          <w:b/>
          <w:bCs/>
          <w:color w:val="1F3864"/>
          <w:sz w:val="26"/>
          <w:szCs w:val="26"/>
        </w:rPr>
        <w:t xml:space="preserve">Yasal Dayanak</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7038"/>
      </w:tblGrid>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Hüküm</w:t>
            </w:r>
          </w:p>
        </w:tc>
        <w:tc>
          <w:tcPr>
            <w:tcW w:type="dxa" w:w="7038"/>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Konu</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m.489</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Hamiline yazılı pay devri ve MKK bildirimi</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m.490</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Nama yazılı payın devri, ciro ve zilyetliğin geçirilmesi</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m.491</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Bedeli tamamen ödenmemiş nama yazılı payda şirket onayı</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m.492-494</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Bağlam hükmü, onay verilinceye kadar hakların durumu, üç aylık süre</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m.499</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Pay defterine kayıt ve şirkete karşı pay sahipliği</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m.501</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Bakiye pay bedelinden sorumluluk</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m.486/2</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İlmühaberin nama yazılı pay senedi hükümlerine tabi olması</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TBK m.183-184</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Çıplak pay devrinde alacağın temliki ve yazılı şekil şartı</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m.595</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Limited şirkette noter onayı şartı (anonim şirkette aranmaz)</w:t>
            </w:r>
          </w:p>
        </w:tc>
      </w:tr>
    </w:tbl>
    <w:p>
      <w:pPr>
        <w:spacing w:after="280"/>
      </w:pPr>
    </w:p>
    <w:tbl>
      <w:tblPr>
        <w:tblW w:type="dxa" w:w="9638"/>
        <w:tblBorders>
          <w:top w:val="single" w:color="1F3864" w:sz="4"/>
          <w:left w:val="single" w:color="1F3864" w:sz="18"/>
          <w:bottom w:val="single" w:color="1F3864" w:sz="4"/>
          <w:right w:val="single" w:color="1F3864" w:sz="4"/>
          <w:insideH w:val="none"/>
          <w:insideV w:val="none"/>
        </w:tblBorders>
      </w:tblPr>
      <w:tblGrid>
        <w:gridCol w:w="9638"/>
      </w:tblGrid>
      <w:tr>
        <w:tc>
          <w:tcPr>
            <w:tcW w:type="dxa" w:w="9638"/>
            <w:shd w:fill="F2F5FA" w:color="auto" w:val="clear"/>
            <w:tcMar>
              <w:top w:type="dxa" w:w="140"/>
              <w:left w:type="dxa" w:w="180"/>
              <w:bottom w:type="dxa" w:w="140"/>
              <w:right w:type="dxa" w:w="180"/>
            </w:tcMar>
          </w:tcPr>
          <w:p>
            <w:pPr>
              <w:spacing w:after="80"/>
            </w:pPr>
            <w:r>
              <w:rPr>
                <w:rFonts w:ascii="Calibri" w:cs="Calibri" w:eastAsia="Calibri" w:hAnsi="Calibri"/>
                <w:b/>
                <w:bCs/>
                <w:color w:val="1F3864"/>
                <w:sz w:val="21"/>
                <w:szCs w:val="21"/>
              </w:rPr>
              <w:t xml:space="preserve">Makronet</w:t>
            </w:r>
          </w:p>
          <w:p>
            <w:pPr>
              <w:spacing w:after="60" w:line="264"/>
              <w:jc w:val="both"/>
            </w:pPr>
            <w:r>
              <w:rPr>
                <w:rFonts w:ascii="Calibri" w:cs="Calibri" w:eastAsia="Calibri" w:hAnsi="Calibri"/>
                <w:sz w:val="19"/>
                <w:szCs w:val="19"/>
              </w:rPr>
              <w:t xml:space="preserve">Makronet, 36 yıllık uzmanlığıyla nama ve hamiline yazılı pay senedi basımı, MKK kayıt bildirimi ve pay devri süreç danışmanlığı sunar. Devir öncesinde pay yapınızın kontrolü ücretsiz danışmanlık kapsamındadır.</w:t>
            </w:r>
          </w:p>
          <w:p>
            <w:pPr>
              <w:spacing w:after="60" w:line="264"/>
              <w:jc w:val="both"/>
            </w:pPr>
            <w:r>
              <w:rPr>
                <w:rFonts w:ascii="Calibri" w:cs="Calibri" w:eastAsia="Calibri" w:hAnsi="Calibri"/>
                <w:sz w:val="19"/>
                <w:szCs w:val="19"/>
              </w:rPr>
              <w:t xml:space="preserve">hissesenedibasim.com</w:t>
            </w:r>
          </w:p>
        </w:tc>
      </w:tr>
    </w:tbl>
    <w:sectPr>
      <w:footerReference w:type="default" r:id="rId7"/>
      <w:pgSz w:w="11906" w:h="16838" w:orient="portrait"/>
      <w:pgMar w:top="1133" w:right="1133" w:bottom="1133"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0D0" w:sz="4" w:space="6"/>
      </w:pBdr>
      <w:jc w:val="center"/>
    </w:pPr>
    <w:r>
      <w:rPr>
        <w:rFonts w:ascii="Calibri" w:cs="Calibri" w:eastAsia="Calibri" w:hAnsi="Calibri"/>
        <w:color w:val="595959"/>
        <w:sz w:val="16"/>
        <w:szCs w:val="16"/>
      </w:rPr>
      <w:t xml:space="preserve">Makronet  |  hissesenedibasim.com  |  Örnek belgedir, hukuki danışmanlık yerine geçmez.  |  Sayfa </w:t>
    </w:r>
    <w:r>
      <w:rPr>
        <w:rFonts w:ascii="Calibri" w:cs="Calibri" w:eastAsia="Calibri" w:hAnsi="Calibri"/>
        <w:color w:val="595959"/>
        <w:sz w:val="16"/>
        <w:szCs w:val="16"/>
      </w:rPr>
      <w:fldChar w:fldCharType="begin"/>
      <w:instrText xml:space="preserve">PAGE</w:instrText>
      <w:fldChar w:fldCharType="separate"/>
      <w:fldChar w:fldCharType="end"/>
    </w:r>
    <w:r>
      <w:rPr>
        <w:rFonts w:ascii="Calibri" w:cs="Calibri" w:eastAsia="Calibri" w:hAnsi="Calibri"/>
        <w:color w:val="595959"/>
        <w:sz w:val="16"/>
        <w:szCs w:val="16"/>
      </w:rPr>
      <w:t xml:space="preserve"> / </w:t>
    </w:r>
    <w:r>
      <w:rPr>
        <w:rFonts w:ascii="Calibri" w:cs="Calibri" w:eastAsia="Calibri" w:hAnsi="Calibri"/>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Anonim Şirket Hisse Devir Sözleşmesi Örneği</dc:title>
  <dc:creator>Makronet</dc:creator>
  <dc:description>Nama, hamiline, ilmühaber ve çıplak pay devri için örnek sözleşme metni</dc:description>
  <cp:lastModifiedBy>Un-named</cp:lastModifiedBy>
  <cp:revision>1</cp:revision>
  <dcterms:created xsi:type="dcterms:W3CDTF">2026-07-26T19:22:18.443Z</dcterms:created>
  <dcterms:modified xsi:type="dcterms:W3CDTF">2026-07-26T19:22:18.443Z</dcterms:modified>
</cp:coreProperties>
</file>

<file path=docProps/custom.xml><?xml version="1.0" encoding="utf-8"?>
<Properties xmlns="http://schemas.openxmlformats.org/officeDocument/2006/custom-properties" xmlns:vt="http://schemas.openxmlformats.org/officeDocument/2006/docPropsVTypes"/>
</file>